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S10 SC </w:t>
      </w:r>
    </w:p>
    <w:p>
      <w:pPr/>
      <w:r>
        <w:rPr>
          <w:b w:val="1"/>
          <w:bCs w:val="1"/>
        </w:rPr>
        <w:t xml:space="preserve">Policarbonato blanco cálido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Aplicación, Bluetooth Mesh;Variante: Policarbonato blanco cálido;UE1, EAN: 4007841081096;Aplicación, lugar: Interior;Aplicación, sala: Recibidor/pasillo, Sala funcional / habitación accesoria, Interior, Parking / aparcamiento subterráneo, Recepción / Vestíbulo;Color: Plata;Contenido del paquete: 1;Lugar de instalación: Pared, Techo;Tipo de montaje: De superficie, Techo, Pared;Resistencia a los golpes: IK07;Índice de protección: IP 20;Clase de aislamiento: II;Temperatura ambiente: de -20 a 40 °C;Material de la carcasa: Aluminio;Material de cubierta: PC opalino;Conexión a la red: 220 – 240 V / 50 – 60 Hz;Consumo propio: 0,38 W;Altura de montaje máx.: 4,00 m;Técnica de AF: 5,8 GHz;Operación auxiliar ajustable: Sí;Detección: Dado el caso, a través de cristal, madera y tabiques de construcción ligera;Escalabilidad electrónica: Sí;Alcance radial: Ø 8 m (50 m²);Alcance tangencial: Ø 8 m (50 m²);Interruptor crepuscular: Sí;Potencia de emisión: &lt; 1 mW;Flujo luminoso producto completo: 979 lm;Eficiencia producto completo: 108 lm/W;Temperatura cromática: 3000 K;Desviación de color LED: SDCM3;Bombillas: LED no reemplazable;Sistema de refrigeración LED: Passive Thermo Control;Encendido progresivo de la luz: Sí;Alumbrado permanente: Conmutable;Funciones: Sensor de movimiento, Tiempo de fundido ajustable al encender y apagar, Función DIM, Libre selección del valor lumínico en un grupo lumínico, Parametrización por grupos, Semi/completamente automático, Fotosensor, Función de grupos colindantes,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min, toda la noche;Luz principal regulable: Sí;Regulación crepuscular aprendizaje: Sí;Interconexión: Sí;Interconexión vía: Bluetooth Mesh;Vida útil LED conforme a IEC-62717 (L70): 100.000 h;Vida útil LED conforme a IEC-62717 (L80): 69.000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9,1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081096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S10 SC  Policarbonato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2026-07-18T01:05:56+02:00</dcterms:created>
  <dcterms:modified xsi:type="dcterms:W3CDTF">2026-07-18T01:05:56+02:00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